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024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0E1DE8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34234D4B" w14:textId="77777777" w:rsidR="00CD36CF" w:rsidRDefault="002822AE" w:rsidP="00CC1F3B">
      <w:pPr>
        <w:pStyle w:val="TitlePageBillPrefix"/>
      </w:pPr>
      <w:sdt>
        <w:sdtPr>
          <w:tag w:val="IntroDate"/>
          <w:id w:val="-1236936958"/>
          <w:placeholder>
            <w:docPart w:val="D2B3624CDAEB45E992F87DAC6B511FE0"/>
          </w:placeholder>
          <w:text/>
        </w:sdtPr>
        <w:sdtEndPr/>
        <w:sdtContent>
          <w:r w:rsidR="00AE48A0">
            <w:t>Introduced</w:t>
          </w:r>
        </w:sdtContent>
      </w:sdt>
    </w:p>
    <w:p w14:paraId="49590512" w14:textId="167FD9AB" w:rsidR="00CD36CF" w:rsidRDefault="002822A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022DC92C3854362B48B289B4ED106B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85BB0812123467C9680FCE7150A9F03"/>
          </w:placeholder>
          <w:text/>
        </w:sdtPr>
        <w:sdtEndPr/>
        <w:sdtContent>
          <w:r>
            <w:t>5656</w:t>
          </w:r>
        </w:sdtContent>
      </w:sdt>
    </w:p>
    <w:p w14:paraId="772460AC" w14:textId="079E587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26EF52FF99F423089177E0CF92894E1"/>
          </w:placeholder>
          <w:text w:multiLine="1"/>
        </w:sdtPr>
        <w:sdtEndPr/>
        <w:sdtContent>
          <w:r w:rsidR="005C037D">
            <w:t>Delegate Kyle</w:t>
          </w:r>
        </w:sdtContent>
      </w:sdt>
    </w:p>
    <w:p w14:paraId="499D9E38" w14:textId="2034220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CB976C0AB7146769B92C0A47E4FAF8A"/>
          </w:placeholder>
          <w:text w:multiLine="1"/>
        </w:sdtPr>
        <w:sdtEndPr/>
        <w:sdtContent>
          <w:r w:rsidR="002822AE">
            <w:t>Introduced February 17, 2026; referred to the Committee on Finance</w:t>
          </w:r>
        </w:sdtContent>
      </w:sdt>
      <w:r>
        <w:t>]</w:t>
      </w:r>
    </w:p>
    <w:p w14:paraId="3ECBAE60" w14:textId="2121D7E1" w:rsidR="00303684" w:rsidRDefault="0000526A" w:rsidP="00CC1F3B">
      <w:pPr>
        <w:pStyle w:val="TitleSection"/>
      </w:pPr>
      <w:r>
        <w:lastRenderedPageBreak/>
        <w:t>A BILL</w:t>
      </w:r>
      <w:r w:rsidR="005C037D">
        <w:t xml:space="preserve"> to amend the Code of West Virginia, 1931, as amended, by adding a new section, designated </w:t>
      </w:r>
      <w:r w:rsidR="00B46D4E">
        <w:t>§</w:t>
      </w:r>
      <w:r w:rsidR="005C037D">
        <w:t>7-</w:t>
      </w:r>
      <w:r w:rsidR="00F76432">
        <w:t>7</w:t>
      </w:r>
      <w:r w:rsidR="005C037D">
        <w:t>-4b, relating to additional compensation of clerk of the county commission for additional duties.</w:t>
      </w:r>
    </w:p>
    <w:p w14:paraId="26ED5F2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B6869E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7F16AD" w14:textId="77777777" w:rsidR="00A600E2" w:rsidRPr="00A600E2" w:rsidRDefault="00B46D4E" w:rsidP="00A600E2">
      <w:pPr>
        <w:pStyle w:val="ArticleHeading"/>
        <w:sectPr w:rsidR="00A600E2" w:rsidRPr="00A600E2" w:rsidSect="00DF199D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600E2">
        <w:t>article 7. compensation of elected county officials.</w:t>
      </w:r>
    </w:p>
    <w:p w14:paraId="44CD3B8D" w14:textId="77777777" w:rsidR="00A600E2" w:rsidRPr="00A600E2" w:rsidRDefault="00986E05" w:rsidP="00A600E2">
      <w:pPr>
        <w:pStyle w:val="SectionHeading"/>
        <w:rPr>
          <w:u w:val="single"/>
        </w:rPr>
        <w:sectPr w:rsidR="00A600E2" w:rsidRPr="00A600E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600E2">
        <w:rPr>
          <w:u w:val="single"/>
        </w:rPr>
        <w:t>§7-7-4b. Additional compensation of clerk of the county commission.</w:t>
      </w:r>
    </w:p>
    <w:p w14:paraId="7E95170B" w14:textId="70CEDEC2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(a) In addition to the salary or compensation provided in §7-7-4 of this code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the county commission of each county shall pay to the county clerk an annual additional compensation for expanded responsibilities in election administration.</w:t>
      </w:r>
    </w:p>
    <w:p w14:paraId="0BE8B61C" w14:textId="3CFEB9BD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(b) To qualify for this additional compensation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each county clerk shall perform the following duties which reflect significant expansions in statutory and operational responsibilities since the year 2002:</w:t>
      </w:r>
    </w:p>
    <w:p w14:paraId="510D8301" w14:textId="5BF11080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(1) Administration and oversight of municipal elections transferred to county jurisdictions beginning in 2024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including ballot preparation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scheduling, poll worker coordination and training</w:t>
      </w:r>
      <w:r w:rsidR="00A600E2" w:rsidRPr="00A600E2">
        <w:rPr>
          <w:u w:val="single"/>
        </w:rPr>
        <w:t xml:space="preserve"> </w:t>
      </w:r>
      <w:r w:rsidRPr="00A600E2">
        <w:rPr>
          <w:u w:val="single"/>
        </w:rPr>
        <w:t>and reporting requirements</w:t>
      </w:r>
      <w:r w:rsidR="00A600E2" w:rsidRPr="00A600E2">
        <w:rPr>
          <w:u w:val="single"/>
        </w:rPr>
        <w:t>,</w:t>
      </w:r>
      <w:r w:rsidRPr="00A600E2">
        <w:rPr>
          <w:u w:val="single"/>
        </w:rPr>
        <w:t xml:space="preserve"> as required by §3-1-31 and </w:t>
      </w:r>
      <w:r w:rsidR="00A600E2">
        <w:rPr>
          <w:u w:val="single"/>
        </w:rPr>
        <w:t>§</w:t>
      </w:r>
      <w:r w:rsidRPr="00A600E2">
        <w:rPr>
          <w:u w:val="single"/>
        </w:rPr>
        <w:t>8-5-5.</w:t>
      </w:r>
    </w:p>
    <w:p w14:paraId="12C0985E" w14:textId="207E541F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(2) Compliance with state and federal requirements including but not limited to §3-2-25</w:t>
      </w:r>
      <w:r w:rsidR="00A600E2" w:rsidRPr="00A600E2">
        <w:rPr>
          <w:u w:val="single"/>
        </w:rPr>
        <w:t>,</w:t>
      </w:r>
    </w:p>
    <w:p w14:paraId="390488AB" w14:textId="0069611A" w:rsidR="00986E05" w:rsidRPr="00A600E2" w:rsidRDefault="00A600E2" w:rsidP="00A600E2">
      <w:pPr>
        <w:pStyle w:val="SectionBody"/>
        <w:ind w:firstLine="0"/>
        <w:rPr>
          <w:u w:val="single"/>
        </w:rPr>
      </w:pPr>
      <w:r>
        <w:rPr>
          <w:u w:val="single"/>
        </w:rPr>
        <w:t>§</w:t>
      </w:r>
      <w:r w:rsidR="00986E05" w:rsidRPr="00A600E2">
        <w:rPr>
          <w:u w:val="single"/>
        </w:rPr>
        <w:t>3-2-26</w:t>
      </w:r>
      <w:r w:rsidR="00416256">
        <w:rPr>
          <w:u w:val="single"/>
        </w:rPr>
        <w:t>,</w:t>
      </w:r>
      <w:r w:rsidR="00986E05" w:rsidRPr="00A600E2">
        <w:rPr>
          <w:u w:val="single"/>
        </w:rPr>
        <w:t xml:space="preserve"> and </w:t>
      </w:r>
      <w:r>
        <w:rPr>
          <w:u w:val="single"/>
        </w:rPr>
        <w:t>§</w:t>
      </w:r>
      <w:r w:rsidR="00986E05" w:rsidRPr="00A600E2">
        <w:rPr>
          <w:u w:val="single"/>
        </w:rPr>
        <w:t>3-2-27</w:t>
      </w:r>
      <w:r w:rsidR="00610011">
        <w:rPr>
          <w:u w:val="single"/>
        </w:rPr>
        <w:t>,</w:t>
      </w:r>
      <w:r w:rsidR="00986E05" w:rsidRPr="00A600E2">
        <w:rPr>
          <w:u w:val="single"/>
        </w:rPr>
        <w:t xml:space="preserve"> by conducting and completing voter registration roll list maintenance on a</w:t>
      </w:r>
      <w:r w:rsidRPr="00A600E2">
        <w:rPr>
          <w:u w:val="single"/>
        </w:rPr>
        <w:t xml:space="preserve"> </w:t>
      </w:r>
      <w:r w:rsidR="00986E05" w:rsidRPr="00A600E2">
        <w:rPr>
          <w:u w:val="single"/>
        </w:rPr>
        <w:t>regular and timely basis</w:t>
      </w:r>
      <w:r w:rsidR="00610011">
        <w:rPr>
          <w:u w:val="single"/>
        </w:rPr>
        <w:t>,</w:t>
      </w:r>
      <w:r w:rsidR="00986E05" w:rsidRPr="00A600E2">
        <w:rPr>
          <w:u w:val="single"/>
        </w:rPr>
        <w:t xml:space="preserve"> including the mailing of address confirmation notices, certification of</w:t>
      </w:r>
      <w:r w:rsidRPr="00A600E2">
        <w:rPr>
          <w:u w:val="single"/>
        </w:rPr>
        <w:t xml:space="preserve"> </w:t>
      </w:r>
      <w:r w:rsidR="00986E05" w:rsidRPr="00A600E2">
        <w:rPr>
          <w:u w:val="single"/>
        </w:rPr>
        <w:t>completion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of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the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nondiscriminatory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program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for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conducting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voter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registration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roll</w:t>
      </w:r>
      <w:r>
        <w:rPr>
          <w:u w:val="single"/>
        </w:rPr>
        <w:t xml:space="preserve"> </w:t>
      </w:r>
      <w:r w:rsidR="00986E05" w:rsidRPr="00A600E2">
        <w:rPr>
          <w:u w:val="single"/>
        </w:rPr>
        <w:t>list</w:t>
      </w:r>
      <w:r w:rsidRPr="00A600E2">
        <w:rPr>
          <w:u w:val="single"/>
        </w:rPr>
        <w:t xml:space="preserve"> </w:t>
      </w:r>
      <w:r w:rsidR="00986E05" w:rsidRPr="00A600E2">
        <w:rPr>
          <w:u w:val="single"/>
        </w:rPr>
        <w:t>maintenance</w:t>
      </w:r>
      <w:r w:rsidR="00610011">
        <w:rPr>
          <w:u w:val="single"/>
        </w:rPr>
        <w:t>,</w:t>
      </w:r>
      <w:r w:rsidR="00986E05" w:rsidRPr="00A600E2">
        <w:rPr>
          <w:u w:val="single"/>
        </w:rPr>
        <w:t xml:space="preserve"> and cancellation of outdated or unauthorized voter registration records.</w:t>
      </w:r>
    </w:p>
    <w:p w14:paraId="52EFDB7E" w14:textId="0D6397A5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(3) Adherence to state and federal cybersecurity requirements for critical election</w:t>
      </w:r>
      <w:r w:rsidR="00A600E2" w:rsidRPr="00A600E2">
        <w:rPr>
          <w:u w:val="single"/>
        </w:rPr>
        <w:t xml:space="preserve"> </w:t>
      </w:r>
      <w:r w:rsidRPr="00A600E2">
        <w:rPr>
          <w:u w:val="single"/>
        </w:rPr>
        <w:t>infrastructure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including completion of annual cybersecurity training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reasonable implementation of Secretary of State security directives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and maintenance of secure voting system operations as required by §11-22-2</w:t>
      </w:r>
      <w:r w:rsidR="00A600E2" w:rsidRPr="00A600E2">
        <w:rPr>
          <w:u w:val="single"/>
        </w:rPr>
        <w:t>(</w:t>
      </w:r>
      <w:r w:rsidRPr="00A600E2">
        <w:rPr>
          <w:u w:val="single"/>
        </w:rPr>
        <w:t>c</w:t>
      </w:r>
      <w:r w:rsidR="00A600E2" w:rsidRPr="00A600E2">
        <w:rPr>
          <w:u w:val="single"/>
        </w:rPr>
        <w:t>)</w:t>
      </w:r>
      <w:r w:rsidRPr="00A600E2">
        <w:rPr>
          <w:u w:val="single"/>
        </w:rPr>
        <w:t>(4</w:t>
      </w:r>
      <w:r w:rsidR="00A600E2" w:rsidRPr="00A600E2">
        <w:rPr>
          <w:u w:val="single"/>
        </w:rPr>
        <w:t>)</w:t>
      </w:r>
      <w:r w:rsidRPr="00A600E2">
        <w:rPr>
          <w:u w:val="single"/>
        </w:rPr>
        <w:t xml:space="preserve"> and 153 CSR 55.</w:t>
      </w:r>
    </w:p>
    <w:p w14:paraId="3830EF6A" w14:textId="36AA64A2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(4) Fulfillment of federal and state election grant reporting obligations under the Help</w:t>
      </w:r>
      <w:r w:rsidR="00610011">
        <w:rPr>
          <w:u w:val="single"/>
        </w:rPr>
        <w:t xml:space="preserve"> </w:t>
      </w:r>
      <w:r w:rsidRPr="00A600E2">
        <w:rPr>
          <w:u w:val="single"/>
        </w:rPr>
        <w:t>America Vote Act (HAVA)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as required by 52 U.S.C. §20901 </w:t>
      </w:r>
      <w:r w:rsidRPr="00A600E2">
        <w:rPr>
          <w:i/>
          <w:iCs/>
          <w:u w:val="single"/>
        </w:rPr>
        <w:t>et seq</w:t>
      </w:r>
      <w:r w:rsidRPr="00A600E2">
        <w:rPr>
          <w:u w:val="single"/>
        </w:rPr>
        <w:t>., §3-1-48</w:t>
      </w:r>
      <w:r w:rsidR="00610011">
        <w:rPr>
          <w:u w:val="single"/>
        </w:rPr>
        <w:t>,</w:t>
      </w:r>
      <w:r w:rsidRPr="00A600E2">
        <w:rPr>
          <w:u w:val="single"/>
        </w:rPr>
        <w:t xml:space="preserve"> and 153 CSR 10.</w:t>
      </w:r>
    </w:p>
    <w:p w14:paraId="683C7700" w14:textId="20A076D3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lastRenderedPageBreak/>
        <w:t>(5) Continued performance of election administration duties transferred from circuit clerks in 2002</w:t>
      </w:r>
      <w:r w:rsidR="00610011">
        <w:rPr>
          <w:u w:val="single"/>
        </w:rPr>
        <w:t xml:space="preserve">, </w:t>
      </w:r>
      <w:r w:rsidRPr="00A600E2">
        <w:rPr>
          <w:u w:val="single"/>
        </w:rPr>
        <w:t>including absentee ballot administration</w:t>
      </w:r>
      <w:r w:rsidR="00A600E2">
        <w:rPr>
          <w:u w:val="single"/>
        </w:rPr>
        <w:t>,</w:t>
      </w:r>
      <w:r w:rsidRPr="00A600E2">
        <w:rPr>
          <w:u w:val="single"/>
        </w:rPr>
        <w:t xml:space="preserve"> ballot preparation</w:t>
      </w:r>
      <w:r w:rsidR="00A600E2">
        <w:rPr>
          <w:u w:val="single"/>
        </w:rPr>
        <w:t>,</w:t>
      </w:r>
      <w:r w:rsidRPr="00A600E2">
        <w:rPr>
          <w:u w:val="single"/>
        </w:rPr>
        <w:t xml:space="preserve"> and candidate filing management.</w:t>
      </w:r>
    </w:p>
    <w:p w14:paraId="16DBA732" w14:textId="69940742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(c) The annual additional compensation shall be $15</w:t>
      </w:r>
      <w:r w:rsidR="005119B6">
        <w:rPr>
          <w:u w:val="single"/>
        </w:rPr>
        <w:t>,</w:t>
      </w:r>
      <w:r w:rsidRPr="00A600E2">
        <w:rPr>
          <w:u w:val="single"/>
        </w:rPr>
        <w:t>000 and shall be paid in equal installments on the same schedule as regular compensation.</w:t>
      </w:r>
    </w:p>
    <w:p w14:paraId="26711207" w14:textId="410ADE9B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(d) Prior to remittance of the additional compensation provided for in this section</w:t>
      </w:r>
      <w:r w:rsidR="00A600E2">
        <w:rPr>
          <w:u w:val="single"/>
        </w:rPr>
        <w:t>,</w:t>
      </w:r>
      <w:r w:rsidRPr="00A600E2">
        <w:rPr>
          <w:u w:val="single"/>
        </w:rPr>
        <w:t xml:space="preserve"> the</w:t>
      </w:r>
    </w:p>
    <w:p w14:paraId="6597D552" w14:textId="761140E7" w:rsidR="00986E05" w:rsidRPr="00A600E2" w:rsidRDefault="00986E05" w:rsidP="00A600E2">
      <w:pPr>
        <w:pStyle w:val="SectionBody"/>
        <w:ind w:firstLine="0"/>
        <w:rPr>
          <w:u w:val="single"/>
        </w:rPr>
      </w:pPr>
      <w:r w:rsidRPr="00A600E2">
        <w:rPr>
          <w:u w:val="single"/>
        </w:rPr>
        <w:t>Secretary of State shall confirm upon request by a county clerk</w:t>
      </w:r>
      <w:r w:rsidR="00A600E2">
        <w:rPr>
          <w:u w:val="single"/>
        </w:rPr>
        <w:t>,</w:t>
      </w:r>
      <w:r w:rsidRPr="00A600E2">
        <w:rPr>
          <w:u w:val="single"/>
        </w:rPr>
        <w:t xml:space="preserve"> on an annual basis, whether the county clerk has met the performance benchmarks provided in subsection (b</w:t>
      </w:r>
      <w:r w:rsidR="00A600E2">
        <w:rPr>
          <w:u w:val="single"/>
        </w:rPr>
        <w:t>)</w:t>
      </w:r>
      <w:r w:rsidR="002978EB" w:rsidRPr="002978EB">
        <w:rPr>
          <w:color w:val="auto"/>
          <w:u w:val="single"/>
        </w:rPr>
        <w:t>.</w:t>
      </w:r>
      <w:r w:rsidRPr="002978EB">
        <w:rPr>
          <w:color w:val="auto"/>
          <w:u w:val="single"/>
        </w:rPr>
        <w:t xml:space="preserve"> </w:t>
      </w:r>
      <w:r w:rsidRPr="00A600E2">
        <w:rPr>
          <w:u w:val="single"/>
        </w:rPr>
        <w:t>Clerks determined to be in full compliance shall receive the additional compensation for that calendar year</w:t>
      </w:r>
      <w:r w:rsidR="00A600E2">
        <w:rPr>
          <w:u w:val="single"/>
        </w:rPr>
        <w:t>.</w:t>
      </w:r>
    </w:p>
    <w:p w14:paraId="75FB65A4" w14:textId="52C05414" w:rsidR="00986E05" w:rsidRPr="00A600E2" w:rsidRDefault="00986E05" w:rsidP="00A600E2">
      <w:pPr>
        <w:pStyle w:val="SectionBody"/>
        <w:rPr>
          <w:u w:val="single"/>
        </w:rPr>
      </w:pPr>
      <w:r w:rsidRPr="00A600E2">
        <w:rPr>
          <w:u w:val="single"/>
        </w:rPr>
        <w:t>(e) Nothing in this section shall be construed to</w:t>
      </w:r>
      <w:r w:rsidR="00A600E2" w:rsidRPr="00A600E2">
        <w:rPr>
          <w:u w:val="single"/>
        </w:rPr>
        <w:t xml:space="preserve"> </w:t>
      </w:r>
      <w:r w:rsidRPr="00A600E2">
        <w:rPr>
          <w:u w:val="single"/>
        </w:rPr>
        <w:t>limit the authority of the county commission</w:t>
      </w:r>
    </w:p>
    <w:p w14:paraId="7894C8AB" w14:textId="5284A4ED" w:rsidR="00986E05" w:rsidRPr="00A600E2" w:rsidRDefault="00986E05" w:rsidP="00A600E2">
      <w:pPr>
        <w:pStyle w:val="SectionBody"/>
        <w:ind w:firstLine="0"/>
        <w:rPr>
          <w:u w:val="single"/>
        </w:rPr>
      </w:pPr>
      <w:r w:rsidRPr="00A600E2">
        <w:rPr>
          <w:u w:val="single"/>
        </w:rPr>
        <w:t>to provide further additional compensation pursuant to other provisions of this code.</w:t>
      </w:r>
    </w:p>
    <w:p w14:paraId="5E76AC40" w14:textId="77777777" w:rsidR="00C33014" w:rsidRDefault="00C33014" w:rsidP="00CC1F3B">
      <w:pPr>
        <w:pStyle w:val="Note"/>
      </w:pPr>
    </w:p>
    <w:p w14:paraId="09BB03DF" w14:textId="2BBF41D7" w:rsidR="006865E9" w:rsidRDefault="00CF1DCA" w:rsidP="00CC1F3B">
      <w:pPr>
        <w:pStyle w:val="Note"/>
      </w:pPr>
      <w:r>
        <w:t xml:space="preserve">NOTE: </w:t>
      </w:r>
      <w:r w:rsidR="00A600E2" w:rsidRPr="00A600E2">
        <w:t>The purpose of this bill is to provide supplemental compensation to county clerks for expanded election duties, including municipal election oversight</w:t>
      </w:r>
      <w:r w:rsidR="002978EB">
        <w:t xml:space="preserve">, </w:t>
      </w:r>
      <w:r w:rsidR="00A600E2" w:rsidRPr="00A600E2">
        <w:t>cybersecurity compliance, federal reporting, and election administration responsibilities transferred from circuit clerks.</w:t>
      </w:r>
    </w:p>
    <w:p w14:paraId="669035B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5BAE" w14:textId="77777777" w:rsidR="005C037D" w:rsidRPr="00B844FE" w:rsidRDefault="005C037D" w:rsidP="00B844FE">
      <w:r>
        <w:separator/>
      </w:r>
    </w:p>
  </w:endnote>
  <w:endnote w:type="continuationSeparator" w:id="0">
    <w:p w14:paraId="2A56B901" w14:textId="77777777" w:rsidR="005C037D" w:rsidRPr="00B844FE" w:rsidRDefault="005C037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BCE641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E251B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C2A9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1CCA" w14:textId="77777777" w:rsidR="00986E05" w:rsidRDefault="00986E05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57DFC6" wp14:editId="3D30A158">
              <wp:simplePos x="0" y="0"/>
              <wp:positionH relativeFrom="page">
                <wp:posOffset>3805140</wp:posOffset>
              </wp:positionH>
              <wp:positionV relativeFrom="page">
                <wp:posOffset>9556167</wp:posOffset>
              </wp:positionV>
              <wp:extent cx="164465" cy="1835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29A7D" w14:textId="77777777" w:rsidR="00986E05" w:rsidRDefault="00986E05">
                          <w:pPr>
                            <w:pStyle w:val="BodyText"/>
                            <w:spacing w:before="15"/>
                            <w:ind w:left="62"/>
                            <w:rPr>
                              <w:u w:val="none"/>
                            </w:rPr>
                          </w:pPr>
                          <w:r>
                            <w:rPr>
                              <w:color w:val="383838"/>
                              <w:spacing w:val="-1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color w:val="383838"/>
                              <w:spacing w:val="-10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color w:val="383838"/>
                              <w:spacing w:val="-1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color w:val="383838"/>
                              <w:spacing w:val="-10"/>
                              <w:u w:val="none"/>
                            </w:rPr>
                            <w:t>2</w:t>
                          </w:r>
                          <w:r>
                            <w:rPr>
                              <w:color w:val="383838"/>
                              <w:spacing w:val="-1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7DFC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99.6pt;margin-top:752.45pt;width:12.95pt;height:14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" filled="f" stroked="f">
              <v:textbox inset="0,0,0,0">
                <w:txbxContent>
                  <w:p w14:paraId="28529A7D" w14:textId="77777777" w:rsidR="00986E05" w:rsidRDefault="00986E05">
                    <w:pPr>
                      <w:pStyle w:val="BodyText"/>
                      <w:spacing w:before="15"/>
                      <w:ind w:left="62"/>
                      <w:rPr>
                        <w:u w:val="none"/>
                      </w:rPr>
                    </w:pPr>
                    <w:r>
                      <w:rPr>
                        <w:color w:val="383838"/>
                        <w:spacing w:val="-10"/>
                        <w:u w:val="none"/>
                      </w:rPr>
                      <w:fldChar w:fldCharType="begin"/>
                    </w:r>
                    <w:r>
                      <w:rPr>
                        <w:color w:val="383838"/>
                        <w:spacing w:val="-10"/>
                        <w:u w:val="none"/>
                      </w:rPr>
                      <w:instrText xml:space="preserve"> PAGE </w:instrText>
                    </w:r>
                    <w:r>
                      <w:rPr>
                        <w:color w:val="383838"/>
                        <w:spacing w:val="-10"/>
                        <w:u w:val="none"/>
                      </w:rPr>
                      <w:fldChar w:fldCharType="separate"/>
                    </w:r>
                    <w:r>
                      <w:rPr>
                        <w:color w:val="383838"/>
                        <w:spacing w:val="-10"/>
                        <w:u w:val="none"/>
                      </w:rPr>
                      <w:t>2</w:t>
                    </w:r>
                    <w:r>
                      <w:rPr>
                        <w:color w:val="383838"/>
                        <w:spacing w:val="-10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212B0" w14:textId="77777777" w:rsidR="005C037D" w:rsidRPr="00B844FE" w:rsidRDefault="005C037D" w:rsidP="00B844FE">
      <w:r>
        <w:separator/>
      </w:r>
    </w:p>
  </w:footnote>
  <w:footnote w:type="continuationSeparator" w:id="0">
    <w:p w14:paraId="1B97CAEF" w14:textId="77777777" w:rsidR="005C037D" w:rsidRPr="00B844FE" w:rsidRDefault="005C037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030" w14:textId="77777777" w:rsidR="002A0269" w:rsidRPr="00B844FE" w:rsidRDefault="002822AE">
    <w:pPr>
      <w:pStyle w:val="Header"/>
    </w:pPr>
    <w:sdt>
      <w:sdtPr>
        <w:id w:val="-684364211"/>
        <w:placeholder>
          <w:docPart w:val="3022DC92C3854362B48B289B4ED106B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022DC92C3854362B48B289B4ED106B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1C86B" w14:textId="3113796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A600E2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97CBD">
          <w:rPr>
            <w:sz w:val="22"/>
            <w:szCs w:val="22"/>
          </w:rPr>
          <w:t>2026R4074</w:t>
        </w:r>
      </w:sdtContent>
    </w:sdt>
  </w:p>
  <w:p w14:paraId="5732850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21E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3486"/>
    <w:multiLevelType w:val="hybridMultilevel"/>
    <w:tmpl w:val="5DA027BE"/>
    <w:lvl w:ilvl="0" w:tplc="F6304488">
      <w:start w:val="1"/>
      <w:numFmt w:val="decimal"/>
      <w:lvlText w:val="%1"/>
      <w:lvlJc w:val="left"/>
      <w:pPr>
        <w:ind w:left="2100" w:hanging="1207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8D2A0D62">
      <w:numFmt w:val="bullet"/>
      <w:lvlText w:val="•"/>
      <w:lvlJc w:val="left"/>
      <w:pPr>
        <w:ind w:left="2986" w:hanging="1207"/>
      </w:pPr>
      <w:rPr>
        <w:rFonts w:hint="default"/>
        <w:lang w:val="en-US" w:eastAsia="en-US" w:bidi="ar-SA"/>
      </w:rPr>
    </w:lvl>
    <w:lvl w:ilvl="2" w:tplc="E9EA7D60">
      <w:numFmt w:val="bullet"/>
      <w:lvlText w:val="•"/>
      <w:lvlJc w:val="left"/>
      <w:pPr>
        <w:ind w:left="3873" w:hanging="1207"/>
      </w:pPr>
      <w:rPr>
        <w:rFonts w:hint="default"/>
        <w:lang w:val="en-US" w:eastAsia="en-US" w:bidi="ar-SA"/>
      </w:rPr>
    </w:lvl>
    <w:lvl w:ilvl="3" w:tplc="704C8ADA">
      <w:numFmt w:val="bullet"/>
      <w:lvlText w:val="•"/>
      <w:lvlJc w:val="left"/>
      <w:pPr>
        <w:ind w:left="4759" w:hanging="1207"/>
      </w:pPr>
      <w:rPr>
        <w:rFonts w:hint="default"/>
        <w:lang w:val="en-US" w:eastAsia="en-US" w:bidi="ar-SA"/>
      </w:rPr>
    </w:lvl>
    <w:lvl w:ilvl="4" w:tplc="6C36B248">
      <w:numFmt w:val="bullet"/>
      <w:lvlText w:val="•"/>
      <w:lvlJc w:val="left"/>
      <w:pPr>
        <w:ind w:left="5646" w:hanging="1207"/>
      </w:pPr>
      <w:rPr>
        <w:rFonts w:hint="default"/>
        <w:lang w:val="en-US" w:eastAsia="en-US" w:bidi="ar-SA"/>
      </w:rPr>
    </w:lvl>
    <w:lvl w:ilvl="5" w:tplc="FB8269D4">
      <w:numFmt w:val="bullet"/>
      <w:lvlText w:val="•"/>
      <w:lvlJc w:val="left"/>
      <w:pPr>
        <w:ind w:left="6532" w:hanging="1207"/>
      </w:pPr>
      <w:rPr>
        <w:rFonts w:hint="default"/>
        <w:lang w:val="en-US" w:eastAsia="en-US" w:bidi="ar-SA"/>
      </w:rPr>
    </w:lvl>
    <w:lvl w:ilvl="6" w:tplc="5364AB50">
      <w:numFmt w:val="bullet"/>
      <w:lvlText w:val="•"/>
      <w:lvlJc w:val="left"/>
      <w:pPr>
        <w:ind w:left="7419" w:hanging="1207"/>
      </w:pPr>
      <w:rPr>
        <w:rFonts w:hint="default"/>
        <w:lang w:val="en-US" w:eastAsia="en-US" w:bidi="ar-SA"/>
      </w:rPr>
    </w:lvl>
    <w:lvl w:ilvl="7" w:tplc="A3C09268">
      <w:numFmt w:val="bullet"/>
      <w:lvlText w:val="•"/>
      <w:lvlJc w:val="left"/>
      <w:pPr>
        <w:ind w:left="8305" w:hanging="1207"/>
      </w:pPr>
      <w:rPr>
        <w:rFonts w:hint="default"/>
        <w:lang w:val="en-US" w:eastAsia="en-US" w:bidi="ar-SA"/>
      </w:rPr>
    </w:lvl>
    <w:lvl w:ilvl="8" w:tplc="074E82E0">
      <w:numFmt w:val="bullet"/>
      <w:lvlText w:val="•"/>
      <w:lvlJc w:val="left"/>
      <w:pPr>
        <w:ind w:left="9192" w:hanging="1207"/>
      </w:pPr>
      <w:rPr>
        <w:rFonts w:hint="default"/>
        <w:lang w:val="en-US" w:eastAsia="en-US" w:bidi="ar-SA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09799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7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22AE"/>
    <w:rsid w:val="002978EB"/>
    <w:rsid w:val="002A0269"/>
    <w:rsid w:val="00303684"/>
    <w:rsid w:val="003143F5"/>
    <w:rsid w:val="00314854"/>
    <w:rsid w:val="00394191"/>
    <w:rsid w:val="003C51CD"/>
    <w:rsid w:val="003C6034"/>
    <w:rsid w:val="00400B5C"/>
    <w:rsid w:val="00416256"/>
    <w:rsid w:val="004368E0"/>
    <w:rsid w:val="004C13DD"/>
    <w:rsid w:val="004D3ABE"/>
    <w:rsid w:val="004E3441"/>
    <w:rsid w:val="00500579"/>
    <w:rsid w:val="005119B6"/>
    <w:rsid w:val="00572702"/>
    <w:rsid w:val="00584AC2"/>
    <w:rsid w:val="00597CBD"/>
    <w:rsid w:val="005A5366"/>
    <w:rsid w:val="005C037D"/>
    <w:rsid w:val="00610011"/>
    <w:rsid w:val="006369EB"/>
    <w:rsid w:val="00637E73"/>
    <w:rsid w:val="006527E5"/>
    <w:rsid w:val="006865E9"/>
    <w:rsid w:val="00686E9A"/>
    <w:rsid w:val="00691F3E"/>
    <w:rsid w:val="00694BFB"/>
    <w:rsid w:val="006A106B"/>
    <w:rsid w:val="006C523D"/>
    <w:rsid w:val="006D4036"/>
    <w:rsid w:val="0074773B"/>
    <w:rsid w:val="0075415C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86E05"/>
    <w:rsid w:val="009B5557"/>
    <w:rsid w:val="009E64D8"/>
    <w:rsid w:val="009F1067"/>
    <w:rsid w:val="00A31E01"/>
    <w:rsid w:val="00A527AD"/>
    <w:rsid w:val="00A600E2"/>
    <w:rsid w:val="00A718CF"/>
    <w:rsid w:val="00AA069B"/>
    <w:rsid w:val="00AE48A0"/>
    <w:rsid w:val="00AE61BE"/>
    <w:rsid w:val="00B16F25"/>
    <w:rsid w:val="00B24422"/>
    <w:rsid w:val="00B400F9"/>
    <w:rsid w:val="00B46D4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76432"/>
    <w:rsid w:val="00F939A4"/>
    <w:rsid w:val="00FA256D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A635C"/>
  <w15:chartTrackingRefBased/>
  <w15:docId w15:val="{AD2F8694-11D1-45E5-8A44-13D4FFF6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2">
    <w:name w:val="heading 2"/>
    <w:basedOn w:val="Normal"/>
    <w:link w:val="Heading2Char"/>
    <w:uiPriority w:val="9"/>
    <w:unhideWhenUsed/>
    <w:qFormat/>
    <w:locked/>
    <w:rsid w:val="00986E05"/>
    <w:pPr>
      <w:widowControl w:val="0"/>
      <w:autoSpaceDE w:val="0"/>
      <w:autoSpaceDN w:val="0"/>
      <w:spacing w:line="240" w:lineRule="auto"/>
      <w:outlineLvl w:val="1"/>
    </w:pPr>
    <w:rPr>
      <w:rFonts w:eastAsia="Arial" w:cs="Arial"/>
      <w:color w:val="auto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odyText">
    <w:name w:val="Body Text"/>
    <w:basedOn w:val="Normal"/>
    <w:link w:val="BodyTextChar"/>
    <w:uiPriority w:val="1"/>
    <w:qFormat/>
    <w:locked/>
    <w:rsid w:val="00986E05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986E05"/>
    <w:rPr>
      <w:rFonts w:eastAsia="Arial" w:cs="Arial"/>
      <w:color w:val="auto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86E05"/>
    <w:rPr>
      <w:rFonts w:eastAsia="Arial" w:cs="Arial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3624CDAEB45E992F87DAC6B51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2D6E-8168-46AE-86EB-7E8CDB3AB212}"/>
      </w:docPartPr>
      <w:docPartBody>
        <w:p w:rsidR="00F6387A" w:rsidRDefault="00F6387A">
          <w:pPr>
            <w:pStyle w:val="D2B3624CDAEB45E992F87DAC6B511FE0"/>
          </w:pPr>
          <w:r w:rsidRPr="00B844FE">
            <w:t>Prefix Text</w:t>
          </w:r>
        </w:p>
      </w:docPartBody>
    </w:docPart>
    <w:docPart>
      <w:docPartPr>
        <w:name w:val="3022DC92C3854362B48B289B4ED1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2057C-6C61-42A0-A580-0DBC5E235FAE}"/>
      </w:docPartPr>
      <w:docPartBody>
        <w:p w:rsidR="00F6387A" w:rsidRDefault="00F6387A">
          <w:pPr>
            <w:pStyle w:val="3022DC92C3854362B48B289B4ED106B1"/>
          </w:pPr>
          <w:r w:rsidRPr="00B844FE">
            <w:t>[Type here]</w:t>
          </w:r>
        </w:p>
      </w:docPartBody>
    </w:docPart>
    <w:docPart>
      <w:docPartPr>
        <w:name w:val="585BB0812123467C9680FCE7150A9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A331-CCB3-4BAC-97FD-EE44E5D5C518}"/>
      </w:docPartPr>
      <w:docPartBody>
        <w:p w:rsidR="00F6387A" w:rsidRDefault="00F6387A">
          <w:pPr>
            <w:pStyle w:val="585BB0812123467C9680FCE7150A9F03"/>
          </w:pPr>
          <w:r w:rsidRPr="00B844FE">
            <w:t>Number</w:t>
          </w:r>
        </w:p>
      </w:docPartBody>
    </w:docPart>
    <w:docPart>
      <w:docPartPr>
        <w:name w:val="426EF52FF99F423089177E0CF928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FB9D-D6EF-4DB4-8629-B3E7EBFF4F8B}"/>
      </w:docPartPr>
      <w:docPartBody>
        <w:p w:rsidR="00F6387A" w:rsidRDefault="00F6387A">
          <w:pPr>
            <w:pStyle w:val="426EF52FF99F423089177E0CF92894E1"/>
          </w:pPr>
          <w:r w:rsidRPr="00B844FE">
            <w:t>Enter Sponsors Here</w:t>
          </w:r>
        </w:p>
      </w:docPartBody>
    </w:docPart>
    <w:docPart>
      <w:docPartPr>
        <w:name w:val="7CB976C0AB7146769B92C0A47E4FA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F9B8B-C486-46ED-83A6-C0A4E78EB22B}"/>
      </w:docPartPr>
      <w:docPartBody>
        <w:p w:rsidR="00F6387A" w:rsidRDefault="00F6387A">
          <w:pPr>
            <w:pStyle w:val="7CB976C0AB7146769B92C0A47E4FAF8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7A"/>
    <w:rsid w:val="00584AC2"/>
    <w:rsid w:val="006527E5"/>
    <w:rsid w:val="0074773B"/>
    <w:rsid w:val="009E64D8"/>
    <w:rsid w:val="00F6387A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B3624CDAEB45E992F87DAC6B511FE0">
    <w:name w:val="D2B3624CDAEB45E992F87DAC6B511FE0"/>
  </w:style>
  <w:style w:type="paragraph" w:customStyle="1" w:styleId="3022DC92C3854362B48B289B4ED106B1">
    <w:name w:val="3022DC92C3854362B48B289B4ED106B1"/>
  </w:style>
  <w:style w:type="paragraph" w:customStyle="1" w:styleId="585BB0812123467C9680FCE7150A9F03">
    <w:name w:val="585BB0812123467C9680FCE7150A9F03"/>
  </w:style>
  <w:style w:type="paragraph" w:customStyle="1" w:styleId="426EF52FF99F423089177E0CF92894E1">
    <w:name w:val="426EF52FF99F423089177E0CF92894E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CB976C0AB7146769B92C0A47E4FAF8A">
    <w:name w:val="7CB976C0AB7146769B92C0A47E4FA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560</Words>
  <Characters>2963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2026-02-16T22:46:00Z</dcterms:created>
  <dcterms:modified xsi:type="dcterms:W3CDTF">2026-02-16T22:46:00Z</dcterms:modified>
</cp:coreProperties>
</file>